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005A6" w14:textId="77777777" w:rsidR="00BE2EE2" w:rsidRDefault="00BE2EE2" w:rsidP="00BE2EE2">
      <w:pPr>
        <w:rPr>
          <w:rFonts w:cs="Times New Roman"/>
          <w:b/>
          <w:sz w:val="29"/>
          <w:szCs w:val="29"/>
        </w:rPr>
      </w:pPr>
      <w:r w:rsidRPr="006F63A2">
        <w:rPr>
          <w:rFonts w:cs="Times New Roman"/>
          <w:b/>
          <w:sz w:val="29"/>
          <w:szCs w:val="29"/>
        </w:rPr>
        <w:t>RESOLUTIONS AND AGREEMENTS REACHED DURING THE 1</w:t>
      </w:r>
      <w:r>
        <w:rPr>
          <w:rFonts w:cs="Times New Roman"/>
          <w:b/>
          <w:sz w:val="29"/>
          <w:szCs w:val="29"/>
        </w:rPr>
        <w:t>5</w:t>
      </w:r>
      <w:r w:rsidRPr="006F63A2">
        <w:rPr>
          <w:rFonts w:cs="Times New Roman"/>
          <w:b/>
          <w:sz w:val="29"/>
          <w:szCs w:val="29"/>
          <w:vertAlign w:val="superscript"/>
        </w:rPr>
        <w:t>TH</w:t>
      </w:r>
      <w:r w:rsidRPr="006F63A2">
        <w:rPr>
          <w:rFonts w:cs="Times New Roman"/>
          <w:b/>
          <w:sz w:val="29"/>
          <w:szCs w:val="29"/>
        </w:rPr>
        <w:t xml:space="preserve"> GENERAL ASSEMBLY OF ICOB—AUGUST 4-7, 2017</w:t>
      </w:r>
    </w:p>
    <w:p w14:paraId="7A359A0D" w14:textId="77777777" w:rsidR="00BE2EE2" w:rsidRPr="006F63A2" w:rsidRDefault="00BE2EE2" w:rsidP="00BE2EE2">
      <w:pPr>
        <w:rPr>
          <w:rFonts w:cs="Times New Roman"/>
          <w:b/>
          <w:sz w:val="29"/>
          <w:szCs w:val="29"/>
        </w:rPr>
      </w:pPr>
    </w:p>
    <w:p w14:paraId="7563E260" w14:textId="40084851" w:rsidR="00BE2EE2" w:rsidRPr="00164B10"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t>As directed by the General Assembly in 2016 in London</w:t>
      </w:r>
      <w:r>
        <w:rPr>
          <w:rFonts w:cs="Times New Roman"/>
          <w:sz w:val="29"/>
          <w:szCs w:val="29"/>
        </w:rPr>
        <w:t>, England,</w:t>
      </w:r>
      <w:r w:rsidRPr="00164B10">
        <w:rPr>
          <w:rFonts w:cs="Times New Roman"/>
          <w:sz w:val="29"/>
          <w:szCs w:val="29"/>
        </w:rPr>
        <w:t xml:space="preserve"> and as agreed </w:t>
      </w:r>
      <w:r>
        <w:rPr>
          <w:rFonts w:cs="Times New Roman"/>
          <w:sz w:val="29"/>
          <w:szCs w:val="29"/>
        </w:rPr>
        <w:t>at</w:t>
      </w:r>
      <w:r w:rsidRPr="00164B10">
        <w:rPr>
          <w:rFonts w:cs="Times New Roman"/>
          <w:sz w:val="29"/>
          <w:szCs w:val="29"/>
        </w:rPr>
        <w:t xml:space="preserve"> the Orlando convention of 2017, ICOB should move its operations towards a corporate organizational structure to ensure service, integrity and transparency (SIT). This action should take into consideration ICOB’s </w:t>
      </w:r>
      <w:r>
        <w:rPr>
          <w:rFonts w:cs="Times New Roman"/>
          <w:sz w:val="29"/>
          <w:szCs w:val="29"/>
        </w:rPr>
        <w:t>B</w:t>
      </w:r>
      <w:r w:rsidRPr="00164B10">
        <w:rPr>
          <w:rFonts w:cs="Times New Roman"/>
          <w:sz w:val="29"/>
          <w:szCs w:val="29"/>
        </w:rPr>
        <w:t xml:space="preserve">y-laws and the laws of the countries in which ICOB </w:t>
      </w:r>
      <w:r>
        <w:rPr>
          <w:rFonts w:cs="Times New Roman"/>
          <w:sz w:val="29"/>
          <w:szCs w:val="29"/>
        </w:rPr>
        <w:t xml:space="preserve">Chapters </w:t>
      </w:r>
      <w:r w:rsidRPr="00164B10">
        <w:rPr>
          <w:rFonts w:cs="Times New Roman"/>
          <w:sz w:val="29"/>
          <w:szCs w:val="29"/>
        </w:rPr>
        <w:t>are registered.</w:t>
      </w:r>
    </w:p>
    <w:p w14:paraId="13F06E3F" w14:textId="77777777" w:rsidR="00BE2EE2" w:rsidRPr="00164B10" w:rsidRDefault="00BE2EE2" w:rsidP="00BE2EE2">
      <w:pPr>
        <w:pStyle w:val="ListParagraph"/>
        <w:ind w:left="540" w:hanging="540"/>
        <w:jc w:val="both"/>
        <w:rPr>
          <w:rFonts w:cs="Times New Roman"/>
          <w:sz w:val="29"/>
          <w:szCs w:val="29"/>
        </w:rPr>
      </w:pPr>
    </w:p>
    <w:p w14:paraId="0453AEBD" w14:textId="68B8BC4A" w:rsidR="00BE2EE2" w:rsidRPr="00BE2EE2"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t>In view of the move towards corporate structure arrangements, an ICOB business plan and an ICOB fund raising strategic plan are expected to be completed by December 31, 2017.</w:t>
      </w:r>
      <w:r>
        <w:rPr>
          <w:rFonts w:cs="Times New Roman"/>
          <w:sz w:val="29"/>
          <w:szCs w:val="29"/>
        </w:rPr>
        <w:t xml:space="preserve"> </w:t>
      </w:r>
      <w:r w:rsidRPr="00BE2EE2">
        <w:rPr>
          <w:rFonts w:cs="Times New Roman"/>
          <w:sz w:val="29"/>
          <w:szCs w:val="29"/>
        </w:rPr>
        <w:t xml:space="preserve">Business plan to include: Re-evaluation of the KEF, including consideration of a scholarship program. </w:t>
      </w:r>
    </w:p>
    <w:p w14:paraId="1963353F" w14:textId="77777777" w:rsidR="00BE2EE2" w:rsidRPr="00164B10" w:rsidRDefault="00BE2EE2" w:rsidP="00BE2EE2">
      <w:pPr>
        <w:pStyle w:val="ListParagraph"/>
        <w:ind w:left="540" w:hanging="540"/>
        <w:jc w:val="both"/>
        <w:rPr>
          <w:rFonts w:cs="Times New Roman"/>
          <w:sz w:val="29"/>
          <w:szCs w:val="29"/>
        </w:rPr>
      </w:pPr>
    </w:p>
    <w:p w14:paraId="0DFE684A" w14:textId="77777777" w:rsidR="00BE2EE2" w:rsidRPr="00164B10"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t>There is an immediate need to attract younger Banyakigezi to sign up and participate as members in all the chapters through use of social media, planning and organizing activities with them that fit their interests, and ensuring that there is a menu of activities for all throughout the year.</w:t>
      </w:r>
      <w:r w:rsidRPr="00164B10" w:rsidDel="00D15E22">
        <w:rPr>
          <w:rFonts w:cs="Times New Roman"/>
          <w:sz w:val="29"/>
          <w:szCs w:val="29"/>
        </w:rPr>
        <w:t xml:space="preserve"> </w:t>
      </w:r>
    </w:p>
    <w:p w14:paraId="73F38D69" w14:textId="77777777" w:rsidR="00BE2EE2" w:rsidRPr="00164B10" w:rsidRDefault="00BE2EE2" w:rsidP="00BE2EE2">
      <w:pPr>
        <w:pStyle w:val="ListParagraph"/>
        <w:ind w:left="540" w:hanging="540"/>
        <w:jc w:val="both"/>
        <w:rPr>
          <w:rFonts w:cs="Times New Roman"/>
          <w:sz w:val="29"/>
          <w:szCs w:val="29"/>
        </w:rPr>
      </w:pPr>
    </w:p>
    <w:p w14:paraId="37C45C9A" w14:textId="47454DB1" w:rsidR="00BE2EE2"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t>The Kigezi Education Fund should be continued as the flagship program</w:t>
      </w:r>
      <w:r>
        <w:rPr>
          <w:rFonts w:cs="Times New Roman"/>
          <w:sz w:val="29"/>
          <w:szCs w:val="29"/>
        </w:rPr>
        <w:t xml:space="preserve"> of ICOB</w:t>
      </w:r>
      <w:r w:rsidRPr="00164B10">
        <w:rPr>
          <w:rFonts w:cs="Times New Roman"/>
          <w:sz w:val="29"/>
          <w:szCs w:val="29"/>
        </w:rPr>
        <w:t xml:space="preserve">, but the Board should look into other worthy interventions to enhance the impact of ICOB’s support. </w:t>
      </w:r>
      <w:r>
        <w:rPr>
          <w:rFonts w:cs="Times New Roman"/>
          <w:sz w:val="29"/>
          <w:szCs w:val="29"/>
        </w:rPr>
        <w:t>Given</w:t>
      </w:r>
      <w:r w:rsidRPr="00164B10">
        <w:rPr>
          <w:rFonts w:cs="Times New Roman"/>
          <w:sz w:val="29"/>
          <w:szCs w:val="29"/>
        </w:rPr>
        <w:t xml:space="preserve"> the leveraging effect the flagship program has </w:t>
      </w:r>
      <w:r w:rsidRPr="007749FB">
        <w:rPr>
          <w:rFonts w:cs="Times New Roman"/>
          <w:sz w:val="29"/>
          <w:szCs w:val="29"/>
        </w:rPr>
        <w:t xml:space="preserve">demonstrated, there is a need to publicize </w:t>
      </w:r>
      <w:r>
        <w:rPr>
          <w:rFonts w:cs="Times New Roman"/>
          <w:sz w:val="29"/>
          <w:szCs w:val="29"/>
        </w:rPr>
        <w:t>its</w:t>
      </w:r>
      <w:r w:rsidRPr="007749FB">
        <w:rPr>
          <w:rFonts w:cs="Times New Roman"/>
          <w:sz w:val="29"/>
          <w:szCs w:val="29"/>
        </w:rPr>
        <w:t xml:space="preserve"> impact.</w:t>
      </w:r>
    </w:p>
    <w:p w14:paraId="48C25F95" w14:textId="77777777" w:rsidR="00BE2EE2" w:rsidRPr="00BE2EE2" w:rsidRDefault="00BE2EE2" w:rsidP="00BE2EE2">
      <w:pPr>
        <w:spacing w:after="160" w:line="259" w:lineRule="auto"/>
        <w:jc w:val="both"/>
        <w:rPr>
          <w:rFonts w:cs="Times New Roman"/>
          <w:sz w:val="29"/>
          <w:szCs w:val="29"/>
        </w:rPr>
      </w:pPr>
    </w:p>
    <w:p w14:paraId="7C6E4A03" w14:textId="70EBE935" w:rsidR="00BE2EE2" w:rsidRPr="007749FB" w:rsidRDefault="00BE2EE2" w:rsidP="00BE2EE2">
      <w:pPr>
        <w:pStyle w:val="ListParagraph"/>
        <w:numPr>
          <w:ilvl w:val="0"/>
          <w:numId w:val="1"/>
        </w:numPr>
        <w:spacing w:after="160" w:line="259" w:lineRule="auto"/>
        <w:ind w:left="540" w:hanging="540"/>
        <w:jc w:val="both"/>
        <w:rPr>
          <w:rFonts w:cs="Times New Roman"/>
          <w:sz w:val="29"/>
          <w:szCs w:val="29"/>
        </w:rPr>
      </w:pPr>
      <w:r>
        <w:rPr>
          <w:rFonts w:cs="Times New Roman"/>
          <w:sz w:val="29"/>
          <w:szCs w:val="29"/>
        </w:rPr>
        <w:t>Whereas c</w:t>
      </w:r>
      <w:r w:rsidRPr="007749FB">
        <w:rPr>
          <w:rFonts w:cs="Times New Roman"/>
          <w:sz w:val="29"/>
          <w:szCs w:val="29"/>
        </w:rPr>
        <w:t xml:space="preserve">hapters </w:t>
      </w:r>
      <w:r>
        <w:rPr>
          <w:rFonts w:cs="Times New Roman"/>
          <w:sz w:val="29"/>
          <w:szCs w:val="29"/>
        </w:rPr>
        <w:t>may</w:t>
      </w:r>
      <w:r w:rsidRPr="007749FB">
        <w:rPr>
          <w:rFonts w:cs="Times New Roman"/>
          <w:sz w:val="29"/>
          <w:szCs w:val="29"/>
        </w:rPr>
        <w:t xml:space="preserve"> raise funds to support their specific interventions consistent with ICOB</w:t>
      </w:r>
      <w:r>
        <w:rPr>
          <w:rFonts w:cs="Times New Roman"/>
          <w:sz w:val="29"/>
          <w:szCs w:val="29"/>
        </w:rPr>
        <w:t>’s</w:t>
      </w:r>
      <w:r w:rsidRPr="007749FB">
        <w:rPr>
          <w:rFonts w:cs="Times New Roman"/>
          <w:sz w:val="29"/>
          <w:szCs w:val="29"/>
        </w:rPr>
        <w:t xml:space="preserve"> mission</w:t>
      </w:r>
      <w:r>
        <w:rPr>
          <w:rFonts w:cs="Times New Roman"/>
          <w:sz w:val="29"/>
          <w:szCs w:val="29"/>
        </w:rPr>
        <w:t xml:space="preserve">, they </w:t>
      </w:r>
      <w:r w:rsidRPr="007749FB">
        <w:rPr>
          <w:rFonts w:cs="Times New Roman"/>
          <w:sz w:val="29"/>
          <w:szCs w:val="29"/>
        </w:rPr>
        <w:t xml:space="preserve">must contribute to </w:t>
      </w:r>
      <w:r>
        <w:rPr>
          <w:rFonts w:cs="Times New Roman"/>
          <w:sz w:val="29"/>
          <w:szCs w:val="29"/>
        </w:rPr>
        <w:t xml:space="preserve">the Kigezi Education Fund, </w:t>
      </w:r>
      <w:r w:rsidRPr="007749FB">
        <w:rPr>
          <w:rFonts w:cs="Times New Roman"/>
          <w:sz w:val="29"/>
          <w:szCs w:val="29"/>
        </w:rPr>
        <w:t>ICOB’s flagship pro</w:t>
      </w:r>
      <w:r>
        <w:rPr>
          <w:rFonts w:cs="Times New Roman"/>
          <w:sz w:val="29"/>
          <w:szCs w:val="29"/>
        </w:rPr>
        <w:t xml:space="preserve">gram. </w:t>
      </w:r>
      <w:r w:rsidRPr="007749FB">
        <w:rPr>
          <w:rFonts w:cs="Times New Roman"/>
          <w:sz w:val="29"/>
          <w:szCs w:val="29"/>
        </w:rPr>
        <w:t xml:space="preserve">The </w:t>
      </w:r>
      <w:r>
        <w:rPr>
          <w:rFonts w:cs="Times New Roman"/>
          <w:sz w:val="29"/>
          <w:szCs w:val="29"/>
        </w:rPr>
        <w:t xml:space="preserve">Board will actualize the fundraising recommendations made in the </w:t>
      </w:r>
      <w:r w:rsidRPr="007749FB">
        <w:rPr>
          <w:rFonts w:cs="Times New Roman"/>
          <w:sz w:val="29"/>
          <w:szCs w:val="29"/>
        </w:rPr>
        <w:t xml:space="preserve">organization assessment </w:t>
      </w:r>
      <w:r w:rsidR="002C42FB">
        <w:rPr>
          <w:rFonts w:cs="Times New Roman"/>
          <w:sz w:val="29"/>
          <w:szCs w:val="29"/>
        </w:rPr>
        <w:t>report</w:t>
      </w:r>
      <w:bookmarkStart w:id="0" w:name="_GoBack"/>
      <w:bookmarkEnd w:id="0"/>
      <w:r>
        <w:rPr>
          <w:rFonts w:cs="Times New Roman"/>
          <w:sz w:val="29"/>
          <w:szCs w:val="29"/>
        </w:rPr>
        <w:t xml:space="preserve">. </w:t>
      </w:r>
      <w:r w:rsidRPr="007749FB">
        <w:rPr>
          <w:rFonts w:cs="Times New Roman"/>
          <w:sz w:val="29"/>
          <w:szCs w:val="29"/>
        </w:rPr>
        <w:t xml:space="preserve">The lessons learnt from </w:t>
      </w:r>
      <w:r>
        <w:rPr>
          <w:rFonts w:cs="Times New Roman"/>
          <w:sz w:val="29"/>
          <w:szCs w:val="29"/>
        </w:rPr>
        <w:t xml:space="preserve">Mr. </w:t>
      </w:r>
      <w:r w:rsidRPr="007749FB">
        <w:rPr>
          <w:rFonts w:cs="Times New Roman"/>
          <w:sz w:val="29"/>
          <w:szCs w:val="29"/>
        </w:rPr>
        <w:t xml:space="preserve">Jackson </w:t>
      </w:r>
      <w:proofErr w:type="spellStart"/>
      <w:r w:rsidRPr="007749FB">
        <w:rPr>
          <w:rFonts w:cs="Times New Roman"/>
          <w:sz w:val="29"/>
          <w:szCs w:val="29"/>
        </w:rPr>
        <w:t>Kaguri’s</w:t>
      </w:r>
      <w:proofErr w:type="spellEnd"/>
      <w:r w:rsidRPr="007749FB">
        <w:rPr>
          <w:rFonts w:cs="Times New Roman"/>
          <w:sz w:val="29"/>
          <w:szCs w:val="29"/>
        </w:rPr>
        <w:t xml:space="preserve"> presentation should be deployed to ensure good fundraising outcomes, including employing a full/part time paid staff to carry out the business of ICOB all year round.</w:t>
      </w:r>
    </w:p>
    <w:p w14:paraId="2E1A4974" w14:textId="77777777" w:rsidR="00BE2EE2" w:rsidRPr="00164B10" w:rsidRDefault="00BE2EE2" w:rsidP="00BE2EE2">
      <w:pPr>
        <w:ind w:left="540" w:hanging="540"/>
        <w:jc w:val="both"/>
        <w:rPr>
          <w:rFonts w:cs="Times New Roman"/>
          <w:sz w:val="29"/>
          <w:szCs w:val="29"/>
        </w:rPr>
      </w:pPr>
    </w:p>
    <w:p w14:paraId="4180C46D" w14:textId="77777777" w:rsidR="00BE2EE2" w:rsidRPr="00164B10"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lastRenderedPageBreak/>
        <w:t>The Board needs to put in place an advocacy group to liaise with development agencies and governments regarding projects that require their contributions and support, e.g. health, education facilities, roads, cultural preservation</w:t>
      </w:r>
    </w:p>
    <w:p w14:paraId="03FC68E9" w14:textId="77777777" w:rsidR="00BE2EE2" w:rsidRPr="00164B10" w:rsidRDefault="00BE2EE2" w:rsidP="00BE2EE2">
      <w:pPr>
        <w:pStyle w:val="ListParagraph"/>
        <w:ind w:left="540" w:hanging="540"/>
        <w:jc w:val="both"/>
        <w:rPr>
          <w:rFonts w:cs="Times New Roman"/>
          <w:sz w:val="29"/>
          <w:szCs w:val="29"/>
        </w:rPr>
      </w:pPr>
    </w:p>
    <w:p w14:paraId="055167EC" w14:textId="011EB425" w:rsidR="00BE2EE2" w:rsidRPr="00164B10" w:rsidRDefault="00BE2EE2" w:rsidP="00BE2EE2">
      <w:pPr>
        <w:pStyle w:val="ListParagraph"/>
        <w:numPr>
          <w:ilvl w:val="0"/>
          <w:numId w:val="1"/>
        </w:numPr>
        <w:spacing w:after="160" w:line="259" w:lineRule="auto"/>
        <w:ind w:left="540" w:hanging="540"/>
        <w:jc w:val="both"/>
        <w:rPr>
          <w:rFonts w:cs="Times New Roman"/>
          <w:sz w:val="29"/>
          <w:szCs w:val="29"/>
        </w:rPr>
      </w:pPr>
      <w:r>
        <w:rPr>
          <w:rFonts w:cs="Times New Roman"/>
          <w:sz w:val="29"/>
          <w:szCs w:val="29"/>
        </w:rPr>
        <w:t>Recognizing that p</w:t>
      </w:r>
      <w:r w:rsidRPr="00164B10">
        <w:rPr>
          <w:rFonts w:cs="Times New Roman"/>
          <w:sz w:val="29"/>
          <w:szCs w:val="29"/>
        </w:rPr>
        <w:t>overty is a condition that affects many Banyakigezi</w:t>
      </w:r>
      <w:r>
        <w:rPr>
          <w:rFonts w:cs="Times New Roman"/>
          <w:sz w:val="29"/>
          <w:szCs w:val="29"/>
        </w:rPr>
        <w:t>, t</w:t>
      </w:r>
      <w:r w:rsidRPr="00164B10">
        <w:rPr>
          <w:rFonts w:cs="Times New Roman"/>
          <w:sz w:val="29"/>
          <w:szCs w:val="29"/>
        </w:rPr>
        <w:t xml:space="preserve">here is a need to work with </w:t>
      </w:r>
      <w:r>
        <w:rPr>
          <w:rFonts w:cs="Times New Roman"/>
          <w:sz w:val="29"/>
          <w:szCs w:val="29"/>
        </w:rPr>
        <w:t xml:space="preserve">the </w:t>
      </w:r>
      <w:r w:rsidRPr="00164B10">
        <w:rPr>
          <w:rFonts w:cs="Times New Roman"/>
          <w:sz w:val="29"/>
          <w:szCs w:val="29"/>
        </w:rPr>
        <w:t xml:space="preserve">Government </w:t>
      </w:r>
      <w:r>
        <w:rPr>
          <w:rFonts w:cs="Times New Roman"/>
          <w:sz w:val="29"/>
          <w:szCs w:val="29"/>
        </w:rPr>
        <w:t xml:space="preserve">of Uganda </w:t>
      </w:r>
      <w:r w:rsidRPr="00164B10">
        <w:rPr>
          <w:rFonts w:cs="Times New Roman"/>
          <w:sz w:val="29"/>
          <w:szCs w:val="29"/>
        </w:rPr>
        <w:t xml:space="preserve">and other agencies involved in programs that attempt to address this issue in the region, </w:t>
      </w:r>
      <w:r>
        <w:rPr>
          <w:rFonts w:cs="Times New Roman"/>
          <w:sz w:val="29"/>
          <w:szCs w:val="29"/>
        </w:rPr>
        <w:t>with emphasis on efforts</w:t>
      </w:r>
      <w:r w:rsidRPr="00164B10">
        <w:rPr>
          <w:rFonts w:cs="Times New Roman"/>
          <w:sz w:val="29"/>
          <w:szCs w:val="29"/>
        </w:rPr>
        <w:t xml:space="preserve"> towards increased agricultur</w:t>
      </w:r>
      <w:r>
        <w:rPr>
          <w:rFonts w:cs="Times New Roman"/>
          <w:sz w:val="29"/>
          <w:szCs w:val="29"/>
        </w:rPr>
        <w:t>al</w:t>
      </w:r>
      <w:r w:rsidRPr="00164B10">
        <w:rPr>
          <w:rFonts w:cs="Times New Roman"/>
          <w:sz w:val="29"/>
          <w:szCs w:val="29"/>
        </w:rPr>
        <w:t xml:space="preserve"> productivity and soil protection. Individual efforts that have potential to reduce poverty should be encouraged with the aim of scaling them up</w:t>
      </w:r>
      <w:r>
        <w:rPr>
          <w:rFonts w:cs="Times New Roman"/>
          <w:sz w:val="29"/>
          <w:szCs w:val="29"/>
        </w:rPr>
        <w:t>.</w:t>
      </w:r>
      <w:r w:rsidRPr="00164B10">
        <w:rPr>
          <w:rFonts w:cs="Times New Roman"/>
          <w:sz w:val="29"/>
          <w:szCs w:val="29"/>
        </w:rPr>
        <w:t xml:space="preserve"> </w:t>
      </w:r>
    </w:p>
    <w:p w14:paraId="1F0C81D5" w14:textId="77777777" w:rsidR="00BE2EE2" w:rsidRPr="00164B10" w:rsidRDefault="00BE2EE2" w:rsidP="00BE2EE2">
      <w:pPr>
        <w:pStyle w:val="ListParagraph"/>
        <w:ind w:left="540" w:hanging="540"/>
        <w:jc w:val="both"/>
        <w:rPr>
          <w:rFonts w:cs="Times New Roman"/>
          <w:sz w:val="29"/>
          <w:szCs w:val="29"/>
        </w:rPr>
      </w:pPr>
    </w:p>
    <w:p w14:paraId="3DDD8B97" w14:textId="77777777" w:rsidR="00BE2EE2" w:rsidRPr="00164B10" w:rsidRDefault="00BE2EE2" w:rsidP="00BE2EE2">
      <w:pPr>
        <w:pStyle w:val="ListParagraph"/>
        <w:numPr>
          <w:ilvl w:val="0"/>
          <w:numId w:val="1"/>
        </w:numPr>
        <w:spacing w:after="160" w:line="259" w:lineRule="auto"/>
        <w:ind w:left="540" w:hanging="540"/>
        <w:jc w:val="both"/>
        <w:rPr>
          <w:rFonts w:cs="Times New Roman"/>
          <w:sz w:val="29"/>
          <w:szCs w:val="29"/>
        </w:rPr>
      </w:pPr>
      <w:r w:rsidRPr="00164B10">
        <w:rPr>
          <w:rFonts w:cs="Times New Roman"/>
          <w:sz w:val="29"/>
          <w:szCs w:val="29"/>
        </w:rPr>
        <w:t>Reports from the chapters need to be more detailed with financials, activities and intervention impacts where applicable. These should be part of the convention materials that should be scrutinized by members before the commencement of the convention.</w:t>
      </w:r>
    </w:p>
    <w:p w14:paraId="7740F712" w14:textId="77777777" w:rsidR="00BE2EE2" w:rsidRPr="00164B10" w:rsidRDefault="00BE2EE2" w:rsidP="00BE2EE2">
      <w:pPr>
        <w:pStyle w:val="ListParagraph"/>
        <w:ind w:left="540" w:hanging="540"/>
        <w:jc w:val="both"/>
        <w:rPr>
          <w:rFonts w:cs="Times New Roman"/>
          <w:sz w:val="29"/>
          <w:szCs w:val="29"/>
        </w:rPr>
      </w:pPr>
    </w:p>
    <w:p w14:paraId="225E8989" w14:textId="5EE4251F" w:rsidR="00BE2EE2" w:rsidRPr="00B07D2D" w:rsidRDefault="0073549F" w:rsidP="00BE2EE2">
      <w:pPr>
        <w:pStyle w:val="ListParagraph"/>
        <w:numPr>
          <w:ilvl w:val="0"/>
          <w:numId w:val="1"/>
        </w:numPr>
        <w:spacing w:after="160" w:line="259" w:lineRule="auto"/>
        <w:ind w:left="540" w:hanging="540"/>
        <w:jc w:val="both"/>
        <w:rPr>
          <w:rFonts w:cs="Times New Roman"/>
          <w:sz w:val="29"/>
          <w:szCs w:val="29"/>
        </w:rPr>
      </w:pPr>
      <w:r w:rsidRPr="00B07D2D">
        <w:rPr>
          <w:rFonts w:cs="Times New Roman"/>
          <w:sz w:val="29"/>
          <w:szCs w:val="29"/>
        </w:rPr>
        <w:t>ICOB should develop</w:t>
      </w:r>
      <w:r w:rsidR="00BE2EE2" w:rsidRPr="00B07D2D">
        <w:rPr>
          <w:rFonts w:cs="Times New Roman"/>
          <w:sz w:val="29"/>
          <w:szCs w:val="29"/>
        </w:rPr>
        <w:t xml:space="preserve"> a </w:t>
      </w:r>
      <w:r w:rsidRPr="00B07D2D">
        <w:rPr>
          <w:rFonts w:cs="Times New Roman"/>
          <w:sz w:val="29"/>
          <w:szCs w:val="29"/>
        </w:rPr>
        <w:t>partnership</w:t>
      </w:r>
      <w:r w:rsidR="00BE2EE2" w:rsidRPr="00B07D2D">
        <w:rPr>
          <w:rFonts w:cs="Times New Roman"/>
          <w:sz w:val="29"/>
          <w:szCs w:val="29"/>
        </w:rPr>
        <w:t xml:space="preserve"> with the UN Resident Rep</w:t>
      </w:r>
      <w:r w:rsidRPr="00B07D2D">
        <w:rPr>
          <w:rFonts w:cs="Times New Roman"/>
          <w:sz w:val="29"/>
          <w:szCs w:val="29"/>
        </w:rPr>
        <w:t>resentative</w:t>
      </w:r>
      <w:r w:rsidR="00BE2EE2" w:rsidRPr="00B07D2D">
        <w:rPr>
          <w:rFonts w:cs="Times New Roman"/>
          <w:sz w:val="29"/>
          <w:szCs w:val="29"/>
        </w:rPr>
        <w:t xml:space="preserve"> in Uganda, who is eager to work with institutions that can deliver on the UN Sustainable Development Goals. </w:t>
      </w:r>
    </w:p>
    <w:p w14:paraId="53075248" w14:textId="77777777" w:rsidR="00F24872" w:rsidRDefault="00F24872"/>
    <w:sectPr w:rsidR="00F24872" w:rsidSect="00EC35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52ECD"/>
    <w:multiLevelType w:val="hybridMultilevel"/>
    <w:tmpl w:val="A3F20D5E"/>
    <w:lvl w:ilvl="0" w:tplc="0E567F56">
      <w:start w:val="1"/>
      <w:numFmt w:val="decimal"/>
      <w:lvlText w:val="%1."/>
      <w:lvlJc w:val="left"/>
      <w:pPr>
        <w:ind w:left="720" w:hanging="360"/>
      </w:pPr>
      <w:rPr>
        <w:rFonts w:asciiTheme="minorHAnsi" w:hAnsiTheme="minorHAnsi" w:cs="Times New Roman" w:hint="default"/>
        <w:sz w:val="29"/>
        <w:szCs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E2"/>
    <w:rsid w:val="00245DDC"/>
    <w:rsid w:val="002C42FB"/>
    <w:rsid w:val="0073549F"/>
    <w:rsid w:val="009822C9"/>
    <w:rsid w:val="00B07D2D"/>
    <w:rsid w:val="00BE2EE2"/>
    <w:rsid w:val="00EC35AC"/>
    <w:rsid w:val="00F248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D4B1DD"/>
  <w15:chartTrackingRefBased/>
  <w15:docId w15:val="{30688FAD-DAC3-AB4D-82D5-76BE82D9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Muniini Mulera</dc:creator>
  <cp:keywords/>
  <dc:description/>
  <cp:lastModifiedBy>Muniini Mulera</cp:lastModifiedBy>
  <cp:revision>3</cp:revision>
  <dcterms:created xsi:type="dcterms:W3CDTF">2020-08-25T05:00:00Z</dcterms:created>
  <dcterms:modified xsi:type="dcterms:W3CDTF">2020-08-25T05:01:00Z</dcterms:modified>
</cp:coreProperties>
</file>